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2206" w14:textId="68646134" w:rsidR="00135117" w:rsidRPr="00135117" w:rsidRDefault="00135117" w:rsidP="00135117">
      <w:pPr>
        <w:rPr>
          <w:i/>
          <w:iCs/>
          <w:sz w:val="36"/>
          <w:szCs w:val="36"/>
        </w:rPr>
      </w:pPr>
      <w:r w:rsidRPr="00135117">
        <w:rPr>
          <w:i/>
          <w:iCs/>
          <w:sz w:val="36"/>
          <w:szCs w:val="36"/>
        </w:rPr>
        <w:t xml:space="preserve">Call for Session Proposals </w:t>
      </w:r>
      <w:r>
        <w:rPr>
          <w:i/>
          <w:iCs/>
          <w:sz w:val="36"/>
          <w:szCs w:val="36"/>
        </w:rPr>
        <w:t xml:space="preserve">– deadline </w:t>
      </w:r>
      <w:r w:rsidR="00583504">
        <w:rPr>
          <w:i/>
          <w:iCs/>
          <w:sz w:val="36"/>
          <w:szCs w:val="36"/>
        </w:rPr>
        <w:t>4 May</w:t>
      </w:r>
    </w:p>
    <w:p w14:paraId="0A7DF850" w14:textId="3823EBEA" w:rsidR="00135117" w:rsidRPr="00135117" w:rsidRDefault="00135117" w:rsidP="00135117">
      <w:pPr>
        <w:rPr>
          <w:i/>
          <w:iCs/>
          <w:sz w:val="24"/>
          <w:szCs w:val="24"/>
        </w:rPr>
      </w:pPr>
      <w:r w:rsidRPr="00135117">
        <w:rPr>
          <w:i/>
          <w:iCs/>
          <w:sz w:val="24"/>
          <w:szCs w:val="24"/>
        </w:rPr>
        <w:t xml:space="preserve">For East </w:t>
      </w:r>
      <w:r w:rsidR="00FA7B02">
        <w:rPr>
          <w:i/>
          <w:iCs/>
          <w:sz w:val="24"/>
          <w:szCs w:val="24"/>
        </w:rPr>
        <w:t xml:space="preserve">&amp; Horn of </w:t>
      </w:r>
      <w:r w:rsidRPr="00135117">
        <w:rPr>
          <w:i/>
          <w:iCs/>
          <w:sz w:val="24"/>
          <w:szCs w:val="24"/>
        </w:rPr>
        <w:t>Africa Business and Human Rights Dialogue 2026 (10 and 11 June, Nairobi)</w:t>
      </w:r>
    </w:p>
    <w:p w14:paraId="5337B65C" w14:textId="71068F7D" w:rsidR="00135117" w:rsidRPr="00135117" w:rsidRDefault="005549FC">
      <w:pPr>
        <w:rPr>
          <w:sz w:val="24"/>
          <w:szCs w:val="24"/>
        </w:rPr>
      </w:pPr>
      <w:r w:rsidRPr="00135117">
        <w:rPr>
          <w:sz w:val="24"/>
          <w:szCs w:val="24"/>
        </w:rPr>
        <w:t>We invite proposals for interactive sessions, workshops, and dialogues that advance the adoption and implementation of Business and Human Rights (BHR</w:t>
      </w:r>
      <w:proofErr w:type="gramStart"/>
      <w:r w:rsidR="00FA7B02">
        <w:rPr>
          <w:sz w:val="24"/>
          <w:szCs w:val="24"/>
        </w:rPr>
        <w:t>)</w:t>
      </w:r>
      <w:proofErr w:type="gramEnd"/>
      <w:r w:rsidRPr="00135117">
        <w:rPr>
          <w:sz w:val="24"/>
          <w:szCs w:val="24"/>
        </w:rPr>
        <w:t xml:space="preserve"> </w:t>
      </w:r>
      <w:r w:rsidR="00135117" w:rsidRPr="00135117">
        <w:rPr>
          <w:sz w:val="24"/>
          <w:szCs w:val="24"/>
        </w:rPr>
        <w:t>and which provide concrete examples of positive impact business models relating to land-based investments in the</w:t>
      </w:r>
      <w:r w:rsidR="00FA7B02">
        <w:rPr>
          <w:sz w:val="24"/>
          <w:szCs w:val="24"/>
        </w:rPr>
        <w:t xml:space="preserve"> greater</w:t>
      </w:r>
      <w:r w:rsidR="00135117" w:rsidRPr="00135117">
        <w:rPr>
          <w:sz w:val="24"/>
          <w:szCs w:val="24"/>
        </w:rPr>
        <w:t xml:space="preserve"> East African Region. Interactive and participatory formats are strongly encouraged.</w:t>
      </w:r>
      <w:r>
        <w:rPr>
          <w:sz w:val="24"/>
          <w:szCs w:val="24"/>
        </w:rPr>
        <w:t xml:space="preserve"> </w:t>
      </w:r>
      <w:r w:rsidRPr="00135117">
        <w:rPr>
          <w:sz w:val="24"/>
          <w:szCs w:val="24"/>
        </w:rPr>
        <w:t>Proposed sessions should contribute to one or more of the following objectives:</w:t>
      </w:r>
    </w:p>
    <w:p w14:paraId="0B67B099" w14:textId="77777777" w:rsidR="00135117" w:rsidRPr="00135117" w:rsidRDefault="005549FC" w:rsidP="0013511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35117">
        <w:rPr>
          <w:sz w:val="24"/>
          <w:szCs w:val="24"/>
        </w:rPr>
        <w:t xml:space="preserve">Assess and </w:t>
      </w:r>
      <w:proofErr w:type="spellStart"/>
      <w:r w:rsidRPr="00135117">
        <w:rPr>
          <w:sz w:val="24"/>
          <w:szCs w:val="24"/>
        </w:rPr>
        <w:t>catalyse</w:t>
      </w:r>
      <w:proofErr w:type="spellEnd"/>
      <w:r w:rsidRPr="00135117">
        <w:rPr>
          <w:sz w:val="24"/>
          <w:szCs w:val="24"/>
        </w:rPr>
        <w:t xml:space="preserve"> concrete, measurable action under the three UNGP pillars through National Action Plans (NAPs), BHR-related laws and policies, EU regulation, and relevant trade and investment frameworks.</w:t>
      </w:r>
    </w:p>
    <w:p w14:paraId="61F3EE50" w14:textId="77777777" w:rsidR="00135117" w:rsidRPr="00135117" w:rsidRDefault="005549FC" w:rsidP="0013511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35117">
        <w:rPr>
          <w:sz w:val="24"/>
          <w:szCs w:val="24"/>
        </w:rPr>
        <w:t>Promote peer learning and multistakeholder dialogue among governments, national human rights institutions, businesses, civil society organisations, human rights defenders, trade unions, and academia.</w:t>
      </w:r>
    </w:p>
    <w:p w14:paraId="130B3A75" w14:textId="77777777" w:rsidR="00135117" w:rsidRPr="00135117" w:rsidRDefault="005549FC" w:rsidP="0013511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35117">
        <w:rPr>
          <w:sz w:val="24"/>
          <w:szCs w:val="24"/>
        </w:rPr>
        <w:t>Present evidence, tools, and good practices from land-based investment sectors, including agriculture, extractives, and energy and infrastructure, highlighting the business case for human rights.</w:t>
      </w:r>
    </w:p>
    <w:p w14:paraId="230CF585" w14:textId="56F7650B" w:rsidR="00135117" w:rsidRPr="00135117" w:rsidRDefault="005549FC" w:rsidP="0013511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35117">
        <w:rPr>
          <w:sz w:val="24"/>
          <w:szCs w:val="24"/>
        </w:rPr>
        <w:t>Advance practical models and tools for human rights due diligence, including heightened due diligence, grounded in lived realities and strengthening protection of most-at-risk groups, including human rights defenders, women, and children.</w:t>
      </w:r>
    </w:p>
    <w:p w14:paraId="75430000" w14:textId="75E99399" w:rsidR="00135117" w:rsidRPr="00135117" w:rsidRDefault="005549FC" w:rsidP="005549FC">
      <w:pPr>
        <w:rPr>
          <w:sz w:val="24"/>
          <w:szCs w:val="24"/>
        </w:rPr>
      </w:pPr>
      <w:r w:rsidRPr="00135117">
        <w:rPr>
          <w:sz w:val="24"/>
          <w:szCs w:val="24"/>
        </w:rPr>
        <w:t>Proposal Format (Maximum one A4 page, Word document)</w:t>
      </w:r>
      <w:r>
        <w:rPr>
          <w:sz w:val="24"/>
          <w:szCs w:val="24"/>
        </w:rPr>
        <w:t xml:space="preserve"> – kindly submit to </w:t>
      </w:r>
      <w:hyperlink r:id="rId6" w:history="1">
        <w:r w:rsidRPr="00A83AFB">
          <w:rPr>
            <w:rStyle w:val="Hyperlink"/>
            <w:sz w:val="24"/>
            <w:szCs w:val="24"/>
          </w:rPr>
          <w:t>caba@dca.dk</w:t>
        </w:r>
      </w:hyperlink>
      <w:r>
        <w:rPr>
          <w:sz w:val="24"/>
          <w:szCs w:val="24"/>
        </w:rPr>
        <w:t xml:space="preserve"> with </w:t>
      </w:r>
      <w:hyperlink r:id="rId7" w:history="1">
        <w:r w:rsidRPr="00A83AFB">
          <w:rPr>
            <w:rStyle w:val="Hyperlink"/>
            <w:sz w:val="24"/>
            <w:szCs w:val="24"/>
          </w:rPr>
          <w:t>joki@dca.dk</w:t>
        </w:r>
      </w:hyperlink>
      <w:r>
        <w:rPr>
          <w:sz w:val="24"/>
          <w:szCs w:val="24"/>
        </w:rPr>
        <w:t xml:space="preserve"> and </w:t>
      </w:r>
      <w:hyperlink r:id="rId8" w:history="1">
        <w:r w:rsidRPr="00A83AFB">
          <w:rPr>
            <w:rStyle w:val="Hyperlink"/>
            <w:sz w:val="24"/>
            <w:szCs w:val="24"/>
          </w:rPr>
          <w:t>nimp@dca.dk</w:t>
        </w:r>
      </w:hyperlink>
      <w:r>
        <w:rPr>
          <w:sz w:val="24"/>
          <w:szCs w:val="24"/>
        </w:rPr>
        <w:t xml:space="preserve"> in copy.</w:t>
      </w:r>
      <w:r>
        <w:rPr>
          <w:sz w:val="24"/>
          <w:szCs w:val="24"/>
        </w:rPr>
        <w:br/>
      </w:r>
      <w:r w:rsidRPr="00135117">
        <w:rPr>
          <w:sz w:val="24"/>
          <w:szCs w:val="24"/>
        </w:rPr>
        <w:br/>
        <w:t>Session proposals should include the following elements:</w:t>
      </w:r>
    </w:p>
    <w:p w14:paraId="0097AC6F" w14:textId="77777777" w:rsidR="00135117" w:rsidRPr="00135117" w:rsidRDefault="005549FC" w:rsidP="0013511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35117">
        <w:rPr>
          <w:sz w:val="24"/>
          <w:szCs w:val="24"/>
        </w:rPr>
        <w:t>Session titl</w:t>
      </w:r>
      <w:r w:rsidR="00135117" w:rsidRPr="00135117">
        <w:rPr>
          <w:sz w:val="24"/>
          <w:szCs w:val="24"/>
        </w:rPr>
        <w:t>e</w:t>
      </w:r>
    </w:p>
    <w:p w14:paraId="306D36B1" w14:textId="77777777" w:rsidR="00135117" w:rsidRPr="00135117" w:rsidRDefault="005549FC" w:rsidP="0013511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35117">
        <w:rPr>
          <w:sz w:val="24"/>
          <w:szCs w:val="24"/>
        </w:rPr>
        <w:t>Session objective and relevance to the conference themes</w:t>
      </w:r>
    </w:p>
    <w:p w14:paraId="3255769A" w14:textId="77777777" w:rsidR="00135117" w:rsidRPr="00135117" w:rsidRDefault="005549FC" w:rsidP="0013511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35117">
        <w:rPr>
          <w:sz w:val="24"/>
          <w:szCs w:val="24"/>
        </w:rPr>
        <w:t>Proposed format (e.g. panel, workshop, roundtable, breakout groups) and level of participant engagement</w:t>
      </w:r>
    </w:p>
    <w:p w14:paraId="76E390E3" w14:textId="77777777" w:rsidR="00135117" w:rsidRPr="00135117" w:rsidRDefault="005549FC" w:rsidP="0013511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35117">
        <w:rPr>
          <w:sz w:val="24"/>
          <w:szCs w:val="24"/>
        </w:rPr>
        <w:t>Key thematic focus (e.g. UNGP implementation, NAPs, EU regulation, sector-specific challenges, due diligence, protection of at-risk groups)</w:t>
      </w:r>
    </w:p>
    <w:p w14:paraId="0A0BED8A" w14:textId="77777777" w:rsidR="00135117" w:rsidRPr="00135117" w:rsidRDefault="005549FC" w:rsidP="0013511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35117">
        <w:rPr>
          <w:sz w:val="24"/>
          <w:szCs w:val="24"/>
        </w:rPr>
        <w:t>Inputs and resources, including evidence, case studies, tools, or methodologies to be shared</w:t>
      </w:r>
    </w:p>
    <w:p w14:paraId="62B3DC0F" w14:textId="77777777" w:rsidR="00135117" w:rsidRPr="00135117" w:rsidRDefault="005549FC" w:rsidP="0013511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35117">
        <w:rPr>
          <w:sz w:val="24"/>
          <w:szCs w:val="24"/>
        </w:rPr>
        <w:t>Proposed speakers or types of contributors, reflecting a multistakeholder perspective</w:t>
      </w:r>
    </w:p>
    <w:p w14:paraId="2DD8E30B" w14:textId="5A43C341" w:rsidR="005549FC" w:rsidRPr="005549FC" w:rsidRDefault="005549FC" w:rsidP="005549F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35117">
        <w:rPr>
          <w:sz w:val="24"/>
          <w:szCs w:val="24"/>
        </w:rPr>
        <w:lastRenderedPageBreak/>
        <w:t>Expected outcomes or key takeaways for participants</w:t>
      </w:r>
    </w:p>
    <w:sectPr w:rsidR="005549FC" w:rsidRPr="005549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9031EF"/>
    <w:multiLevelType w:val="hybridMultilevel"/>
    <w:tmpl w:val="A268F0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35C31"/>
    <w:multiLevelType w:val="hybridMultilevel"/>
    <w:tmpl w:val="B2A63ABC"/>
    <w:lvl w:ilvl="0" w:tplc="186415C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383504">
    <w:abstractNumId w:val="8"/>
  </w:num>
  <w:num w:numId="2" w16cid:durableId="1159153951">
    <w:abstractNumId w:val="6"/>
  </w:num>
  <w:num w:numId="3" w16cid:durableId="1704094222">
    <w:abstractNumId w:val="5"/>
  </w:num>
  <w:num w:numId="4" w16cid:durableId="2072577252">
    <w:abstractNumId w:val="4"/>
  </w:num>
  <w:num w:numId="5" w16cid:durableId="1364743958">
    <w:abstractNumId w:val="7"/>
  </w:num>
  <w:num w:numId="6" w16cid:durableId="1032992717">
    <w:abstractNumId w:val="3"/>
  </w:num>
  <w:num w:numId="7" w16cid:durableId="490297848">
    <w:abstractNumId w:val="2"/>
  </w:num>
  <w:num w:numId="8" w16cid:durableId="326401175">
    <w:abstractNumId w:val="1"/>
  </w:num>
  <w:num w:numId="9" w16cid:durableId="1829320521">
    <w:abstractNumId w:val="0"/>
  </w:num>
  <w:num w:numId="10" w16cid:durableId="1284581265">
    <w:abstractNumId w:val="9"/>
  </w:num>
  <w:num w:numId="11" w16cid:durableId="1990593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117"/>
    <w:rsid w:val="0015074B"/>
    <w:rsid w:val="00254537"/>
    <w:rsid w:val="0029639D"/>
    <w:rsid w:val="00326F90"/>
    <w:rsid w:val="00393368"/>
    <w:rsid w:val="005549FC"/>
    <w:rsid w:val="00583504"/>
    <w:rsid w:val="00AA1D8D"/>
    <w:rsid w:val="00B47730"/>
    <w:rsid w:val="00CB0664"/>
    <w:rsid w:val="00DE6944"/>
    <w:rsid w:val="00FA7B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CE28108"/>
  <w14:defaultImageDpi w14:val="300"/>
  <w15:docId w15:val="{F6DA81AE-3495-4053-9CDE-2FCFBEA0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549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mp@dca.dk" TargetMode="External"/><Relationship Id="rId3" Type="http://schemas.openxmlformats.org/officeDocument/2006/relationships/styles" Target="styles.xml"/><Relationship Id="rId7" Type="http://schemas.openxmlformats.org/officeDocument/2006/relationships/hyperlink" Target="mailto:joki@dca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ba@dca.d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Cathrine Barklin</cp:lastModifiedBy>
  <cp:revision>2</cp:revision>
  <dcterms:created xsi:type="dcterms:W3CDTF">2026-04-16T06:50:00Z</dcterms:created>
  <dcterms:modified xsi:type="dcterms:W3CDTF">2026-04-16T06:50:00Z</dcterms:modified>
  <cp:category/>
</cp:coreProperties>
</file>